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EE" w:rsidRDefault="00BC55EE"/>
    <w:p w:rsidR="005E52F2" w:rsidRDefault="005E52F2" w:rsidP="005E52F2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</w:pPr>
      <w:bookmarkStart w:id="0" w:name="_GoBack"/>
      <w:r w:rsidRPr="005E52F2">
        <w:rPr>
          <w:rFonts w:ascii="Open Sans" w:eastAsia="Times New Roman" w:hAnsi="Open Sans" w:cs="Open Sans"/>
          <w:b/>
          <w:bCs/>
          <w:kern w:val="36"/>
          <w:sz w:val="40"/>
          <w:szCs w:val="40"/>
          <w:lang w:eastAsia="ru-RU"/>
        </w:rPr>
        <w:t>Гостевой дом "Береза"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E52F2" w:rsidTr="005E52F2">
        <w:tc>
          <w:tcPr>
            <w:tcW w:w="5341" w:type="dxa"/>
          </w:tcPr>
          <w:bookmarkEnd w:id="0"/>
          <w:p w:rsid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40"/>
                <w:szCs w:val="40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20257DC" wp14:editId="4EF156CE">
                  <wp:extent cx="3230088" cy="1817635"/>
                  <wp:effectExtent l="0" t="0" r="8890" b="0"/>
                  <wp:docPr id="26" name="Рисунок 26" descr="28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081" cy="181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40"/>
                <w:szCs w:val="40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B9C0C68" wp14:editId="4C94B704">
                  <wp:extent cx="3236693" cy="1821351"/>
                  <wp:effectExtent l="0" t="0" r="1905" b="7620"/>
                  <wp:docPr id="25" name="Рисунок 25" descr="27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153" cy="182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F2" w:rsidTr="005E52F2"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5E52F2" w:rsidTr="005E52F2"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AE05787" wp14:editId="7B8AA7DD">
                  <wp:extent cx="3144412" cy="1769423"/>
                  <wp:effectExtent l="0" t="0" r="0" b="2540"/>
                  <wp:docPr id="24" name="Рисунок 24" descr="19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307" cy="17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156B09D" wp14:editId="45C23D18">
                  <wp:extent cx="3144412" cy="1769423"/>
                  <wp:effectExtent l="0" t="0" r="0" b="2540"/>
                  <wp:docPr id="23" name="Рисунок 23" descr="4_13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_13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68" cy="177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F2" w:rsidTr="005E52F2"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5E52F2" w:rsidTr="005E52F2"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1AB9C14" wp14:editId="5F8FA6AC">
                  <wp:extent cx="3418758" cy="1923802"/>
                  <wp:effectExtent l="0" t="0" r="0" b="635"/>
                  <wp:docPr id="22" name="Рисунок 22" descr="4_11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_11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553" cy="192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4F9F49F" wp14:editId="242A2CF6">
                  <wp:extent cx="3418755" cy="1923802"/>
                  <wp:effectExtent l="0" t="0" r="0" b="635"/>
                  <wp:docPr id="21" name="Рисунок 21" descr="1_24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_24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735" cy="192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F2" w:rsidTr="005E52F2"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  <w:tr w:rsidR="005E52F2" w:rsidTr="005E52F2"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  <w:r>
              <w:rPr>
                <w:rFonts w:ascii="Open Sans" w:eastAsia="Times New Roman" w:hAnsi="Open Sans" w:cs="Open Sans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F4204A9" wp14:editId="52B9CA98">
                  <wp:extent cx="3206337" cy="1804270"/>
                  <wp:effectExtent l="0" t="0" r="0" b="5715"/>
                  <wp:docPr id="20" name="Рисунок 20" descr="1_22">
                    <a:hlinkClick xmlns:a="http://schemas.openxmlformats.org/drawingml/2006/main" r:id="rId1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_22">
                            <a:hlinkClick r:id="rId1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386" cy="180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5E52F2" w:rsidRPr="005E52F2" w:rsidRDefault="005E52F2" w:rsidP="005E52F2">
            <w:pPr>
              <w:jc w:val="center"/>
              <w:textAlignment w:val="baseline"/>
              <w:outlineLvl w:val="0"/>
              <w:rPr>
                <w:rFonts w:ascii="Open Sans" w:eastAsia="Times New Roman" w:hAnsi="Open Sans" w:cs="Open Sans"/>
                <w:b/>
                <w:bCs/>
                <w:kern w:val="36"/>
                <w:sz w:val="16"/>
                <w:szCs w:val="16"/>
                <w:lang w:eastAsia="ru-RU"/>
              </w:rPr>
            </w:pPr>
          </w:p>
        </w:tc>
      </w:tr>
    </w:tbl>
    <w:p w:rsidR="005E52F2" w:rsidRPr="005E52F2" w:rsidRDefault="005E52F2" w:rsidP="005E52F2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5E52F2" w:rsidRPr="005E52F2" w:rsidRDefault="005E52F2" w:rsidP="005E52F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52F2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Направление: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Пермь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Джубга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Лермонтово</w:t>
      </w:r>
      <w:proofErr w:type="spellEnd"/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Туапсе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Лазаревское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Вардане</w:t>
      </w:r>
      <w:proofErr w:type="spellEnd"/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Лоо</w:t>
      </w:r>
      <w:proofErr w:type="spellEnd"/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Сочи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Адлер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ПСОУ </w:t>
      </w:r>
      <w:r w:rsidRPr="005E52F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→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 xml:space="preserve"> Пермь</w:t>
      </w:r>
    </w:p>
    <w:p w:rsidR="005E52F2" w:rsidRPr="005E52F2" w:rsidRDefault="005E52F2" w:rsidP="005E52F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E52F2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5E52F2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ru-RU"/>
        </w:rPr>
        <w:t>10 ночей на море + дорога</w:t>
      </w:r>
    </w:p>
    <w:tbl>
      <w:tblPr>
        <w:tblW w:w="10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8976"/>
      </w:tblGrid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Город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Адлер, Имеретинская бухта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пос. Мирный, 20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Посмотреть расположение на карте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" w:tgtFrame="_blank" w:history="1">
              <w:r w:rsidRPr="005E5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https://yandex.ru/maps/239/sochi/house/ulitsa_posyolok_mirny_20/Z0AYfwJkT0QGQFppfXhweXprbA==/?ll=39.956116%2C43.417411&amp;z=16.04</w:t>
              </w:r>
            </w:hyperlink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Уникальное расположение рядом с Сочи-парком и всеми объектами Олимпиады. Новый район, который порадует набережной, парком развлечений, оборудованным пляжем, поющим фонтаном и удобным транспортным сообщением со всеми районами Сочи. Гостиница уютная, подойдет для активных туристов, которых не смущает отдаленность от моря. Рекомендуем!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корпуса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Комплектация номеров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две односпальные кровати, телевизор, кондиционер, </w:t>
            </w:r>
            <w:proofErr w:type="spellStart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шкаф, тумбочки, совмещенный санузел: душ (поливной в пол с поддоном) с туалетом</w:t>
            </w:r>
            <w:proofErr w:type="gramEnd"/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Доп. место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Сколько доп. мест можно поставить в номере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Уборка номеров, белья, полотенец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требованию - 1 раз в 5 дней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принимаются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проживают бесплатно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Автобусом: дети 0-1 год включительно – проживают бесплатно, без предоставления доп. места, оплачивая только стоимость проезда</w:t>
            </w:r>
            <w:r w:rsidRPr="005E52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ЖД: дети 0-1 год включительно – для них тур полностью бесплатный (без места в </w:t>
            </w:r>
            <w:proofErr w:type="gramStart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гостинице</w:t>
            </w:r>
            <w:proofErr w:type="gramEnd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+ без места в поезде – едут на полке с родителем)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кухня общего пользования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терраса, экскурсионное бюро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Пляж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галечный, 1700 м (17 мин), до Олимпийского парка 1100 м (11 мин)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Расчетный час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с 12.00, выезд до 12.00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включено (автобусом)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на комфортабельном автобусе туристического класса; сопровождение нашим сотрудником из Перми и обратно; страховка по проездку в автобусе; трансфер до гостиницы и обратно (либо подъезд к самой гостинице, либо вызываем такси, если большой автобус проехать не сможет); бесплатные чай/кофе в дороге с печеньем и конфетами; просмотр фильмов; проживание в номерах выбранной категории</w:t>
            </w:r>
            <w:proofErr w:type="gramEnd"/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Необходимые </w:t>
            </w: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документы (автобусом)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оригинал паспорта/свидетельства о рождении; медицинский полис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стоимость включено (поездом)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(плацкарт) в обе стороны (купе под запрос при бронировании); трансфер от ЖД вокзала до гостиницы и обратно; проживание в номерах выбранной категории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(поездом)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 паспорта/свидетельства о рождении; медицинский полис; школьная справка для детей 10-17 лет из общеобразовательного учреждения НЕ нужна на посадке в период с 01.06 по 31.08. Только с 01.09. Обратите внимание, если на обратную дорогу Вы поедете в Пермь уже в сентябре - справка будет нужна. В летний период скидка школьникам действует по возрасту без предоставления справки.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Получение ЖД билетов (поездом)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 билеты отправляются на электронную почту за 2-3 дня до выезда в электронном формате, где прописывается время выезда, поезд, информация по трансферу. ЖД билеты распечатывать НЕ нужно, так как действует электронная регистрация. Их не требуют на посадке. Проводнику показываете только паспорт/свидетельство о рождении.</w:t>
            </w:r>
          </w:p>
        </w:tc>
      </w:tr>
      <w:tr w:rsidR="005E52F2" w:rsidRPr="005E52F2" w:rsidTr="005E52F2"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Скачать памятку по туру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5E52F2" w:rsidRDefault="005E52F2" w:rsidP="005E52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5E52F2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p w:rsidR="005E52F2" w:rsidRDefault="005E52F2" w:rsidP="005E52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5E52F2" w:rsidRPr="005E52F2" w:rsidRDefault="005E52F2" w:rsidP="005E52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</w:p>
    <w:tbl>
      <w:tblPr>
        <w:tblW w:w="10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275"/>
        <w:gridCol w:w="1276"/>
        <w:gridCol w:w="1559"/>
        <w:gridCol w:w="1134"/>
        <w:gridCol w:w="1276"/>
        <w:gridCol w:w="1844"/>
        <w:gridCol w:w="991"/>
      </w:tblGrid>
      <w:tr w:rsidR="005E52F2" w:rsidRPr="005E52F2" w:rsidTr="005E52F2">
        <w:trPr>
          <w:trHeight w:val="615"/>
        </w:trPr>
        <w:tc>
          <w:tcPr>
            <w:tcW w:w="10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 </w:t>
            </w:r>
            <w:r w:rsidRPr="005E5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АВТОБУСНОГО тура</w:t>
            </w: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(15 дней/14 ночей) - 10 ночей на курорте</w:t>
            </w:r>
            <w:r w:rsidRPr="005E52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E5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</w:t>
            </w:r>
          </w:p>
        </w:tc>
      </w:tr>
      <w:tr w:rsidR="005E52F2" w:rsidRPr="005E52F2" w:rsidTr="005E52F2">
        <w:trPr>
          <w:trHeight w:val="615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13.06.2023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50800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50800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54700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54700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23.07.2023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54700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54700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12.08.2023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54700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93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22.08.2023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06.09.2023 (обратно поездом)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50800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32600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0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Скидка детям 0-12 лет включительно: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 р.</w:t>
            </w:r>
          </w:p>
        </w:tc>
      </w:tr>
      <w:tr w:rsidR="005E52F2" w:rsidRPr="005E52F2" w:rsidTr="005E52F2">
        <w:trPr>
          <w:trHeight w:val="615"/>
        </w:trPr>
        <w:tc>
          <w:tcPr>
            <w:tcW w:w="10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Стоимость </w:t>
            </w:r>
            <w:r w:rsidRPr="005E5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ЖД тура</w:t>
            </w: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на 1 человека (17 дней/16 ночей) - 10 ночей на курорте</w:t>
            </w:r>
            <w:r w:rsidRPr="005E52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E52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ПРОЕЗД + ПРОЖИВАНИЕ + ТРАНСФЕР</w:t>
            </w:r>
          </w:p>
        </w:tc>
      </w:tr>
      <w:tr w:rsidR="005E52F2" w:rsidRPr="005E52F2" w:rsidTr="005E52F2">
        <w:trPr>
          <w:trHeight w:val="615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Выезд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курорте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Ночей на курорте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12.06.2023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56300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56300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60600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15.07.2023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60600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22.07.2023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60600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01.08.2023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60600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27.08.2023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60600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5E52F2" w:rsidRPr="005E52F2" w:rsidTr="005E52F2">
        <w:trPr>
          <w:trHeight w:val="3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03.09.2023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06.09.2023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56300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5E52F2" w:rsidRPr="005E52F2" w:rsidRDefault="005E52F2" w:rsidP="005E52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5E52F2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9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3564"/>
      </w:tblGrid>
      <w:tr w:rsidR="005E52F2" w:rsidRPr="005E52F2" w:rsidTr="005E52F2">
        <w:trPr>
          <w:trHeight w:val="300"/>
        </w:trPr>
        <w:tc>
          <w:tcPr>
            <w:tcW w:w="9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Скидки в обе стороны на ЖД билеты (плацкарт)</w:t>
            </w:r>
          </w:p>
        </w:tc>
      </w:tr>
      <w:tr w:rsidR="005E52F2" w:rsidRPr="005E52F2" w:rsidTr="005E52F2">
        <w:trPr>
          <w:trHeight w:val="300"/>
        </w:trPr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10-17 лет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5 600 </w:t>
            </w:r>
            <w:proofErr w:type="gramStart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5E52F2" w:rsidRPr="005E52F2" w:rsidTr="005E52F2">
        <w:trPr>
          <w:trHeight w:val="300"/>
        </w:trPr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5-9 лет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5E52F2" w:rsidRPr="005E52F2" w:rsidTr="005E52F2">
        <w:trPr>
          <w:trHeight w:val="300"/>
        </w:trPr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(с местом в поезде)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7 300 </w:t>
            </w:r>
            <w:proofErr w:type="gramStart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5E52F2" w:rsidRPr="005E52F2" w:rsidTr="005E52F2">
        <w:trPr>
          <w:trHeight w:val="300"/>
        </w:trPr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0-4 года (без места в поезде)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2F2" w:rsidRPr="005E52F2" w:rsidRDefault="005E52F2" w:rsidP="005E52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11 300 </w:t>
            </w:r>
            <w:proofErr w:type="gramStart"/>
            <w:r w:rsidRPr="005E52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</w:tbl>
    <w:p w:rsidR="005E52F2" w:rsidRDefault="005E52F2"/>
    <w:sectPr w:rsidR="005E52F2" w:rsidSect="005E5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F2"/>
    <w:rsid w:val="005E52F2"/>
    <w:rsid w:val="00B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52F2"/>
    <w:rPr>
      <w:color w:val="0000FF"/>
      <w:u w:val="single"/>
    </w:rPr>
  </w:style>
  <w:style w:type="character" w:customStyle="1" w:styleId="tour-summarylabel">
    <w:name w:val="tour-summary__label"/>
    <w:basedOn w:val="a0"/>
    <w:rsid w:val="005E52F2"/>
  </w:style>
  <w:style w:type="character" w:customStyle="1" w:styleId="tour-summaryvalue">
    <w:name w:val="tour-summary__value"/>
    <w:basedOn w:val="a0"/>
    <w:rsid w:val="005E52F2"/>
  </w:style>
  <w:style w:type="character" w:styleId="a4">
    <w:name w:val="Strong"/>
    <w:basedOn w:val="a0"/>
    <w:uiPriority w:val="22"/>
    <w:qFormat/>
    <w:rsid w:val="005E52F2"/>
    <w:rPr>
      <w:b/>
      <w:bCs/>
    </w:rPr>
  </w:style>
  <w:style w:type="paragraph" w:styleId="a5">
    <w:name w:val="Normal (Web)"/>
    <w:basedOn w:val="a"/>
    <w:uiPriority w:val="99"/>
    <w:semiHidden/>
    <w:unhideWhenUsed/>
    <w:rsid w:val="005E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2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52F2"/>
    <w:rPr>
      <w:color w:val="0000FF"/>
      <w:u w:val="single"/>
    </w:rPr>
  </w:style>
  <w:style w:type="character" w:customStyle="1" w:styleId="tour-summarylabel">
    <w:name w:val="tour-summary__label"/>
    <w:basedOn w:val="a0"/>
    <w:rsid w:val="005E52F2"/>
  </w:style>
  <w:style w:type="character" w:customStyle="1" w:styleId="tour-summaryvalue">
    <w:name w:val="tour-summary__value"/>
    <w:basedOn w:val="a0"/>
    <w:rsid w:val="005E52F2"/>
  </w:style>
  <w:style w:type="character" w:styleId="a4">
    <w:name w:val="Strong"/>
    <w:basedOn w:val="a0"/>
    <w:uiPriority w:val="22"/>
    <w:qFormat/>
    <w:rsid w:val="005E52F2"/>
    <w:rPr>
      <w:b/>
      <w:bCs/>
    </w:rPr>
  </w:style>
  <w:style w:type="paragraph" w:styleId="a5">
    <w:name w:val="Normal (Web)"/>
    <w:basedOn w:val="a"/>
    <w:uiPriority w:val="99"/>
    <w:semiHidden/>
    <w:unhideWhenUsed/>
    <w:rsid w:val="005E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2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4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227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6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cot59.ru/assets/galleries/4269/4_1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cot59.ru/assets/galleries/4269/2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cot59.ru/assets/galleries/4269/1_2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cot59.ru/assets/galleries/4269/4_13.jpg" TargetMode="External"/><Relationship Id="rId5" Type="http://schemas.openxmlformats.org/officeDocument/2006/relationships/hyperlink" Target="https://pcot59.ru/assets/galleries/4269/28.jpg" TargetMode="External"/><Relationship Id="rId15" Type="http://schemas.openxmlformats.org/officeDocument/2006/relationships/hyperlink" Target="https://pcot59.ru/assets/galleries/4269/1_24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yandex.ru/maps/239/sochi/house/ulitsa_posyolok_mirny_20/Z0AYfwJkT0QGQFppfXhweXprbA==/?ll=39.956116%2C43.417411&amp;z=16.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ot59.ru/assets/galleries/4269/1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2023-05-17T10:55:00Z</dcterms:created>
  <dcterms:modified xsi:type="dcterms:W3CDTF">2023-05-17T10:59:00Z</dcterms:modified>
</cp:coreProperties>
</file>